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онкология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03:14 МСК · База обновлена: 25.07.2026, 03:05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онкология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онкологическое отделение детской больницы была госпитализирована пациентка 5 лет с подозрением на объемное образование шеи и брюшной полости.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появление образования в области шеи слева.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Неделю назад родители обратили внимание на появление образования в области шеи слева. Ребенок осмотрен участковым педиатром, при пальпации выявлено образование слева шеи и брюшной полости. Наличие объемного образования забрюшинного пространства подтверждено данными УЗИ. Пациентка госпитализирована в стационар для дообследования и постановки диагноза.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Ребенок (девочка) от 1 беременности, родов на сроке 40 недель. Течение беременности: на фоне токсикоза в 2-м триместре. Вес при рождении 3250 г. Рост 54 см. Закричала и к груди приложена сразу. Естественное вскармливание до 1 месяца. Профилактические прививки: по календарю. Перенесенные заболевания: острая респираторная вирусная инфекция, тонзиллит, аденоиды 2 степени.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тяжелое по основному заболеванию. Не лихорадит. Самочувствие страдает умеренно за счет опухолевых масс, локализованных в области шеи. Кожные покровы бледные, без инфекционной сыпи, сухие. Подкожно-жировая клетчатка развита недостаточно, распределена равномерно, видимых отеков нет. Язык чистый, розовый, слизистые оболочки ротовой полости чистые, розовые. Лимфатические узлы - в области шеи слева от угла нижней челюсти до подключичной области пальпируется объемное образование, деформирующее контур шеи, размером приблизительно 10х7 см; при пальпации – плотно-эластичной консистенции, безболезненное, не спаяно с окружающими тканями, кожа над поверхностью не изменена. Дыхание через нос свободное, отделяемого нет. В легких аускультативно дыхание жесткое, равномерно проводится во все отделы, хрипов нет. Кашля, одышки нет. SaO2 97%. Визуально область сердца не изменена. Аускультативно тоны сердца ясные, ритмичные, шумов нет. Живот мягкий, доступен глубокой пальпации, увеличен в объёме. Печень {plus}3 см. Физиологические отправления в норме. Наружные половые органы сформированы по женскому типу. Стул регулярный, оформленный, без патологических примесей. Очаговой и неврологической симптоматики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в данной ситуации лабораторным методам обследования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оценка гемостаза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уровень онкомаркеров (НСЕ, АФП, ХГЧ)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микробиологическое исследование на носительство оксациллин-устойчивого золотистого стафилококка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биохимическое исследование крови (включая определение лактатдегидрогеназы, ферритина)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определение уровня тиреотропного гормона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уровень онкомаркеров (НСЕ, АФП, ХГЧ); 3 — общий анализ крови; 5 — биохимическое исследование крови (включая определение лактатдегидрогеназы, ферритина)</w:t>
      </w:r>
    </w:p>
    <w:p>
      <w:pPr>
        <w:ind w:left="504"/>
      </w:pPr>
      <w:r>
        <w:rPr>
          <w:b w:val="0"/>
          <w:i/>
        </w:rPr>
        <w:t>Необходимо проведение дифференциальной диагностики целого ряда злокачественных новообразований (нейробластома, герминогенные опухоли). Для этих целей может быть использовано определение уровня онкомаркеров (НСЕ, АФП, ХГЧ).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Заподозрив у пациента злокачественное новообразование согласно общепринятым рекомендациям показано выполнение общего анализа крови, с целью исключения/выявления анемии и тромбоцитопении и других изменений. Анемия, тромбоцитопения могут свидетельствовать о метастатическом характере поражения костного мозга. Кроме того, необходима оценка показателей крови перед планированием оперативного вмешательства.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ЛДГ является неспецифическим опухолевым маркером и используются для косвенной оценки степени активности опухоли и распространения опухолевого процесса.</w:t>
        <w:br/>
        <w:br/>
        <w:t>Учитывая наличие образования в области шеи, в дифференциальный ряд необходимо включать нейробластому.</w:t>
        <w:br/>
        <w:br/>
        <w:t>Клетки нейробластомы секретируют ферритин, который по биохимическим характеристикам (гликолизированый, электрофоретические характеристики) отличается от того, который продуцируется нормальными клетками. Данный маркер может использоваться как прогностический фактор и чаще повышается у пациентов в метастатическими формами (4 и 4S стадии).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необходимым инструментальным методам обследования для постановки диагноза в данной ситуации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сцинтиграфия почек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сцинтиграфия с 123I-метайодбензилгуанидином (МЙБГ)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компьютерная томография шеи, органов грудной клетки и брюшной полости с внутривенным контрастным усилением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фиброгастродуоденоскопия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суточное мониторирование артериального давления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сцинтиграфия с 123I-метайодбензилгуанидином (МЙБГ); 3 — компьютерная томография шеи, органов грудной клетки и брюшной полости с внутривенным контрастным усилением</w:t>
      </w:r>
    </w:p>
    <w:p>
      <w:pPr>
        <w:ind w:left="504"/>
      </w:pPr>
      <w:r>
        <w:rPr>
          <w:b w:val="0"/>
          <w:i/>
        </w:rPr>
        <w:t>У ребенка по данным УЗИ выявлено объемное образование забрюшинного пространства, что заставляет предположить в том числе нейробластому и исключить метастазы.</w:t>
        <w:br/>
        <w:br/>
        <w:t>МЙБГ являясь структурным аналогом норэпинефрина специфически захватывается переносчиками норэпинефрина и накапливается в цитоплазме и митохондриях клетки, а так как большинство клеток нейробластомы экспрессируют переносчики норэпинефрина – это и делает МЙБГ препаратом выбора для оценки распространенности процесса у пациентов с НБ. Благодаря высокой чувствительности и специфичности сцинтиграфия с метайодбензилгуанидином, меченным 123I или 131I (123I/131I –МЙБГ), широко используется для диагностики, стадирования/рестадирования, диагностики рецидива, планирования и проведения терапии у пациентов с нейробластомой (НБ).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Проведение визуализационных методов исследования (КТ, МРТ) осуществляется для определения органной принадлежности выявленного образования и его топографии, определение размеров опухоли по трем параметрами и определение объема опухоли; для исключения метастатического поражения.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результатов клинико-лабораторных и инструментальных исследований можно предположить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лимфома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нефробластома левой почки с метастатическим поражением костей скелета, лимфатических узлов средостения, шеи слева, мезентериальных и забрюшинных л/у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нейробластома левого надпочечника с метастатическим поражением костей скелета, отдаленных лимфатических узлов шеи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гистиоцитоз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нейробластома левого надпочечника с метастатическим поражением костей скелета, отдаленных лимфатических узлов шеи слева</w:t>
      </w:r>
    </w:p>
    <w:p>
      <w:pPr>
        <w:ind w:left="504"/>
      </w:pPr>
      <w:r>
        <w:rPr>
          <w:b w:val="0"/>
          <w:i/>
        </w:rPr>
        <w:t>Учитывая повышение уровня ЛДГ, НСЕ, ферритина, наличие объемного образования забрюшинного пространства и увеличенных лимфатических узлов шеи по данным КТ, патологическое накопление радиофармпрепарата при проведении сцинтиграфии с МЙБГ, у ребенка вероятнее всего имеет место метастатическая форма нейробластомы.</w:t>
        <w:br/>
        <w:br/>
        <w:t>Нейробластома – эмбриональная злокачественная опухоль, происходящая из симпатогониев (незрелых клеток-предшественников симпатической нервной системы), самая частая экстракраниальная солидная опухоль у детей. 90% больных младше 6 лет. Нейробластома может возникать в любой анатомической области, где располагается симпатическая нервная система: надпочечники, шейный, грудной и брюшной симпатический отделы, параганглии. Около половины случаев заболевания на момент постановки диагноза имеет признаки метастазирования. Наиболее часто метастазы встречаются в регионарных и отдаленных лимфоузлах, костном мозге, костях, печени и коже, реже – в ЦНС, крайне редко – в легких.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(4)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(5)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 целью подтверждения гистологического диагноза данному пациенту можно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радикальное удаление образования шеи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биопсию первичной опухоли или метастатического очага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радикальное удаление образования шеи и удаление опухоли забрюшинного пространства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удаление опухоли забрюшинного пространства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биопсию первичной опухоли или метастатического очага</w:t>
      </w:r>
    </w:p>
    <w:p>
      <w:pPr>
        <w:ind w:left="504"/>
      </w:pPr>
      <w:r>
        <w:rPr>
          <w:b w:val="0"/>
          <w:i/>
        </w:rPr>
        <w:t>Хирургическое вмешательство на этапе первичной диагностики проводится, прежде всего, проводится для гистологической верификации диагноза и для получения материала для цитогенетического исследования и лишь в отдельных случаях проводится радикальное удаление опухоли (при небольших размерах образования, отсутствие факторов риска по данным визуализации и при наличие низких факторов риска развития постоперационных осложнений). Возможно, выполнение биопсии метастатических очагов с целью получения материала для исследования и постановки диагноза.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основании всего комплекса обследования у ребенка может быть установлен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Нейробластома шеи и забрюшинного пространства, 4 стадия по INSS, М стадия по INRGSS (метастатическое поражение костей скелета), наличие амплификации гена _MYCN_, делеции _1 р_ и  _11 q_ не выявлено. Группа высокого риска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Нефробластома (метастатическое поражение костей скелета, отдаленных лимфатических узлов)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Нейробластома забрюшинного пространства, 4 стадия по INSS, М стадия по INRGSS (метастатическое поражение костей скелета, отдаленных лимфатических узлов), наличие амплифкации гена _MYCN_, делеции _1 р_ и _11_ _q_ не выявлено. Группа промежуточного риска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Нейробластома забрюшинного пространства, 4 стадия по INSS, М стадия по INRGSS (метастатическое поражение костей скелета, отдаленных лимфатических узлов), наличие амплификации гена _MYCN_, делеции _1 р_ и _11 q_ не выявлено. Группа высокого риска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Нейробластома забрюшинного пространства, 4 стадия по INSS, М стадия по INRGSS (метастатическое поражение костей скелета, отдаленных лимфатических узлов), наличие амплификации гена _MYCN_, делеции _1 р_ и _11 q_ не выявлено. Группа высокого риска</w:t>
      </w:r>
    </w:p>
    <w:p>
      <w:pPr>
        <w:ind w:left="504"/>
      </w:pPr>
      <w:r>
        <w:rPr>
          <w:b w:val="0"/>
          <w:i/>
        </w:rPr>
        <w:t>Стадирование нейробластомы осуществятся в два этапа.</w:t>
        <w:br/>
        <w:br/>
        <w:t>На первом этапе определяется топографическая стадия осуществляется согласно критериям INSS (International Neuroblastoma Staging System). Данная система стадирования является постхирургической.</w:t>
        <w:br/>
        <w:br/>
        <w:t>На втором этапе результаты определения топографической стадии анализируются совместно с данными молекулярно-генетических и лабораторных методов исследования и определяется группа риска.</w:t>
        <w:br/>
        <w:br/>
        <w:t>4 стадия по INSS - диссиминация опухоли в костный мозг, кости, отдаленные лимфатические узлы, печень, ЦНС и другие органы.</w:t>
        <w:br/>
        <w:br/>
        <w:t>В группу высокого риска в рамках протокола NB-2004 включаются пациенты с нейробластомой если они отвечают следующим критериям:</w:t>
        <w:br/>
        <w:br/>
        <w:t>-- стадия 4: все больные старше 1 года независимо от статуса гена _MYCN_;</w:t>
        <w:br/>
        <w:br/>
        <w:t>-- стадия 1-3/4S: все возрастные группы при наличии _MYCN_ амплификации.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К наиболее эффективным химиопрепаратам в отношении клеток нейробластомы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метотрексат, митоксантрон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l-аспарагиназа, метотрексат, азатиоприн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6-меркаптопурин, блеомицин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доксорубицин, цисплатин, циклофосфамид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доксорубицин, цисплатин, циклофосфамид</w:t>
      </w:r>
    </w:p>
    <w:p>
      <w:pPr>
        <w:ind w:left="504"/>
      </w:pPr>
      <w:r>
        <w:rPr>
          <w:b w:val="0"/>
          <w:i/>
        </w:rPr>
        <w:t>Выбор наиболее оптимального режима ПХТ является предметом обсуждений, а комбинации, дозовые режимы и способы введения цитостатических препаратов варьируют в протоколах различных исследовательских групп. Анализ литературных данных, свидетельствовал, что наиболее эффективными в отношении клеток НБ являлись антрациклиновые антибиотики (доксорубицин), производные платины (цисплатин, карбоплатин), ингибиторы топоизоимеразы II типа (этопозид), винкаалкалоиды (винкристин) и алкилирующие агенты (тиотепа, мелфалан, циклофосфамид, ифосфамид). Последующие исследования добавили в данный список ингибиторы топоизомеразы I типа (топотекан, иринотекан).</w:t>
        <w:br/>
        <w:br/>
        <w:t>Согласно действующим клиническим рекомендациям   пациентам в возрасте 6 месяцев и старше с установленным диагнозом нейробластомы группы высокого риска после оперативного вмешательства показано проведение курсов химиотерапии по схемам N5 и N6 в альтернирующем режиме.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К особенностям хирургического лечения у пациентов с нейробластомой группы высокого риска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выполнение радикальной операции с обширной лимфодиссекцией во всех случаях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одномоментную метастазэктомию и удаление первичного очага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частичную резекцию опухоли с обязательным сохранением надпочечника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минимизацию тяжелых послеоперационных осложнений и оценку факторов риска при проведении визуализационных методов исследования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минимизацию тяжелых послеоперационных осложнений и оценку факторов риска при проведении визуализационных методов исследования</w:t>
      </w:r>
    </w:p>
    <w:p>
      <w:pPr>
        <w:ind w:left="504"/>
      </w:pPr>
      <w:r>
        <w:rPr>
          <w:b w:val="0"/>
          <w:i/>
        </w:rPr>
        <w:t>Хирургическое вмешательство у пациентов 4 стадии должно проводиться опытными хирургами, имеющими опыт операций при нейробластоме различных локализаций; крайне важным аспектом является минимизация тяжелых послеоперационных осложнений для исключения последующего за этим нарушения тайминга системной терапии. При планировании хирургических вмешательств целесообразно оценивать факторы риска при визуализации.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«Second-look» операцию у данного пациента предпочтительно проводить после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курса химиотерапии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4-6 блока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2-3 блока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лучевой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4-6 блока химиотерапии</w:t>
      </w:r>
    </w:p>
    <w:p>
      <w:pPr>
        <w:ind w:left="504"/>
      </w:pPr>
      <w:r>
        <w:rPr>
          <w:b w:val="0"/>
          <w:i/>
        </w:rPr>
        <w:t>На фоне проведения курсов химиотерапии ожидаемо сокращение размеров опухоли, что может позволить более безопасно и в максимальном объеме выполнить отсроченное оперативное вмешательство. Оптимальные сроки для проведения операции после 4,5 или 6 курса химиотерапии, но всегда до начала проведения лучевой терапии.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У пациента при цитогенетическом исследовании ткани опухоли методом FISH выявлена амплификация гена MYCN. Наличие выявленных изменений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прогностически значимым не считается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прогноз улучшает в случае младшего возраста пациента (до года)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прогноз улучшает независимо от возраста пациента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прогноз ухудшает независимо от возраста пациента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прогноз ухудшает независимо от возраста пациента</w:t>
      </w:r>
    </w:p>
    <w:p>
      <w:pPr>
        <w:ind w:left="504"/>
      </w:pPr>
      <w:r>
        <w:rPr>
          <w:b w:val="0"/>
          <w:i/>
        </w:rPr>
        <w:t>Амплификация гена MYCN считается прогностически неблагоприятным маркерам, потому что ухудшает общий прогноз заболевания, который не превышает 40% несмотря на мультимодальную терапию, включающую высокодозную химиотерапию с аутологичной трансплантацией костного мозга.</w:t>
        <w:br/>
        <w:br/>
        <w:t>Статус гена MYCN является одним из прогностических критериев для стратификации на группы риска.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5.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Пациентам с нейробластомой группы высокого риска лучевая терапия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перед хирургическим вмешательством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индукции и высокодозной терапии с ауто-ТГСК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после завершения дифференцировочной терапии 13-цис-ретиновой кислотой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 этапа индукционной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после индукции и высокодозной терапии с ауто-ТГСК</w:t>
      </w:r>
    </w:p>
    <w:p>
      <w:pPr>
        <w:ind w:left="504"/>
      </w:pPr>
      <w:r>
        <w:rPr>
          <w:b w:val="0"/>
          <w:i/>
        </w:rPr>
        <w:t>Нейробластома относится к радиочувствительным опухолям. Локальная лучевая терапия в группе пациентов высокого риска показана после завершения этапа индукционной терапии и ауто-ТГСК.</w:t>
        <w:br/>
        <w:br/>
        <w:t>Показания к лучевой терапии</w:t>
        <w:br/>
        <w:br/>
        <w:t>* Метаболически активная остаточная опухоль (остаточный компонент опухоли накапливает МЙБГ (при инициально МЙБГ- позитивных опухолях))</w:t>
        <w:br/>
        <w:br/>
        <w:t>* Накопление контрастного препарата в остаточной опухоли по данным КТ или МРТ (только для инциально МЙБГ-ненативных опухолях)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Артериальная гипертензия у пациентов с нейробластомой может быть обусловлена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надпочечниковой недостаточностью после выполнения оперативного вмешательства в объеме туморадреналэктомии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развитием вторичного гипертиреоза за счет гиперпродукции тиреотропного гормона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гиперпродукцией метаболитов катехоламинов и активацией ренин-ангиотензивной системы при нарушении кровоснабжения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почечной недостаточностью на фоне проводимой специфической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гиперпродукцией метаболитов катехоламинов и активацией ренин-ангиотензивной системы при нарушении кровоснабжения почек</w:t>
      </w:r>
    </w:p>
    <w:p>
      <w:pPr>
        <w:ind w:left="504"/>
      </w:pPr>
      <w:r>
        <w:rPr>
          <w:b w:val="0"/>
          <w:i/>
        </w:rPr>
        <w:t>Артериальная гипертензия может быть связана как с гиперпродукцией метаболитов катехоламинов, так и продукцией ренина почкой на фоне сдавления опухолью ее артерий.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Наиболее часто встречающимся паранеопластическим синдромом при нейробластоме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синдром Кушинга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миелодистрофия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 опсоклонус-миоклонус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преждевременное половое созревание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синдром опсоклонус-миоклонус</w:t>
      </w:r>
    </w:p>
    <w:p>
      <w:pPr>
        <w:ind w:left="504"/>
      </w:pPr>
      <w:r>
        <w:rPr>
          <w:b w:val="0"/>
          <w:i/>
        </w:rPr>
        <w:t>В 50-80% случаев синдром опсоклонус-миоклонус является паранеопластическим и наиболее часто встречается при нейробластоме.</w:t>
        <w:br/>
        <w:br/>
        <w:t>Частота ОМС при НБ достигает 2–4 %.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(2)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онкология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78_2/" TargetMode="External"/><Relationship Id="rId23" Type="http://schemas.openxmlformats.org/officeDocument/2006/relationships/hyperlink" Target="https://library.mededtech.ru/rest/documents/78_2/#list_item_e7aa16" TargetMode="External"/><Relationship Id="rId24" Type="http://schemas.openxmlformats.org/officeDocument/2006/relationships/hyperlink" Target="https://library.mededtech.ru/rest/documents/78_2/#list_item_rp3jbk" TargetMode="External"/><Relationship Id="rId25" Type="http://schemas.openxmlformats.org/officeDocument/2006/relationships/hyperlink" Target="https://library.mededtech.ru/rest/documents/78_2/#list_item_dgaqfk" TargetMode="External"/><Relationship Id="rId26" Type="http://schemas.openxmlformats.org/officeDocument/2006/relationships/hyperlink" Target="https://library.mededtech.ru/rest/documents/78_2/#list_item_gc53r1" TargetMode="External"/><Relationship Id="rId27" Type="http://schemas.openxmlformats.org/officeDocument/2006/relationships/hyperlink" Target="https://library.mededtech.ru/rest/documents/78_2/#list_item_ab2v7e" TargetMode="External"/><Relationship Id="rId28" Type="http://schemas.openxmlformats.org/officeDocument/2006/relationships/hyperlink" Target="https://library.mededtech.ru/rest/documents/78_2/#list_item_35an2f" TargetMode="External"/><Relationship Id="rId29" Type="http://schemas.openxmlformats.org/officeDocument/2006/relationships/hyperlink" Target="https://library.mededtech.ru/rest/documents/78_2/#list_item_iu21ek" TargetMode="External"/><Relationship Id="rId30" Type="http://schemas.openxmlformats.org/officeDocument/2006/relationships/hyperlink" Target="https://library.mededtech.ru/rest/documents/78_2/#paragraph_69ebs8" TargetMode="External"/><Relationship Id="rId31" Type="http://schemas.openxmlformats.org/officeDocument/2006/relationships/hyperlink" Target="https://library.mededtech.ru/rest/documents/78_2/#paragraph_k13dv2" TargetMode="External"/><Relationship Id="rId32" Type="http://schemas.openxmlformats.org/officeDocument/2006/relationships/hyperlink" Target="https://library.mededtech.ru/rest/documents/78_2/#list_item_4kl75i" TargetMode="External"/><Relationship Id="rId33" Type="http://schemas.openxmlformats.org/officeDocument/2006/relationships/image" Target="media/image7.png"/><Relationship Id="rId34" Type="http://schemas.openxmlformats.org/officeDocument/2006/relationships/hyperlink" Target="https://library.mededtech.ru/rest/documents/78_2/#tabl1-1" TargetMode="External"/><Relationship Id="rId35" Type="http://schemas.openxmlformats.org/officeDocument/2006/relationships/hyperlink" Target="https://library.mededtech.ru/rest/documents/78_2/#list_item_kir65m" TargetMode="External"/><Relationship Id="rId36" Type="http://schemas.openxmlformats.org/officeDocument/2006/relationships/hyperlink" Target="https://library.mededtech.ru/rest/documents/78_2/#list_item_0u2rpe" TargetMode="External"/><Relationship Id="rId37" Type="http://schemas.openxmlformats.org/officeDocument/2006/relationships/hyperlink" Target="https://library.mededtech.ru/rest/documents/78_2/#paragraph_1j75pe" TargetMode="External"/><Relationship Id="rId38" Type="http://schemas.openxmlformats.org/officeDocument/2006/relationships/hyperlink" Target="https://library.mededtech.ru/rest/documents/78_2/#paragraph_hfmr61" TargetMode="External"/><Relationship Id="rId39" Type="http://schemas.openxmlformats.org/officeDocument/2006/relationships/hyperlink" Target="https://library.mededtech.ru/rest/documents/78_2/#paragraph_bcau15" TargetMode="External"/><Relationship Id="rId40" Type="http://schemas.openxmlformats.org/officeDocument/2006/relationships/hyperlink" Target="https://library.mededtech.ru/rest/documents/78_2/#paragraph_ada3cc" TargetMode="External"/><Relationship Id="rId41" Type="http://schemas.openxmlformats.org/officeDocument/2006/relationships/hyperlink" Target="https://library.mededtech.ru/rest/documents/78_2/#paragraph_7p7jal" TargetMode="External"/><Relationship Id="rId42" Type="http://schemas.openxmlformats.org/officeDocument/2006/relationships/hyperlink" Target="https://library.mededtech.ru/rest/documents/78_2/#paragraph_novndr" TargetMode="External"/><Relationship Id="rId43" Type="http://schemas.openxmlformats.org/officeDocument/2006/relationships/hyperlink" Target="https://library.mededtech.ru/rest/documents/78_2/#list_item_l08de4" TargetMode="External"/><Relationship Id="rId44" Type="http://schemas.openxmlformats.org/officeDocument/2006/relationships/hyperlink" Target="https://library.mededtech.ru/rest/documents/78_2/#paragraph_i9ea63" TargetMode="External"/><Relationship Id="rId45" Type="http://schemas.openxmlformats.org/officeDocument/2006/relationships/hyperlink" Target="https://library.mededtech.ru/rest/documents/78_2/#list_item_fn7vso" TargetMode="External"/><Relationship Id="rId46" Type="http://schemas.openxmlformats.org/officeDocument/2006/relationships/hyperlink" Target="https://library.mededtech.ru/rest/documents/78_2/#paragraph_piblo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